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01D6" w:rsidRDefault="00FD6911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 T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he </w:t>
      </w:r>
      <w:r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>Historic Center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or </w:t>
      </w:r>
      <w:r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>Centre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of </w:t>
      </w:r>
      <w:r w:rsidRPr="00FD6911">
        <w:rPr>
          <w:rFonts w:ascii="Arial" w:hAnsi="Arial" w:cs="Arial"/>
          <w:sz w:val="21"/>
          <w:szCs w:val="21"/>
          <w:shd w:val="clear" w:color="auto" w:fill="FFFFFF"/>
        </w:rPr>
        <w:t>Salvador de Bahia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in </w:t>
      </w:r>
      <w:r w:rsidRPr="00FD6911">
        <w:rPr>
          <w:rFonts w:ascii="Arial" w:hAnsi="Arial" w:cs="Arial"/>
          <w:sz w:val="21"/>
          <w:szCs w:val="21"/>
          <w:shd w:val="clear" w:color="auto" w:fill="FFFFFF"/>
        </w:rPr>
        <w:t>Brazil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, also known as the </w:t>
      </w:r>
      <w:proofErr w:type="spellStart"/>
      <w:r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>Pelourinho</w:t>
      </w:r>
      <w:proofErr w:type="spellEnd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or </w:t>
      </w:r>
      <w:proofErr w:type="spellStart"/>
      <w:r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>Pelo</w:t>
      </w:r>
      <w:proofErr w:type="spellEnd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, is a historic neighborhood in western </w:t>
      </w:r>
      <w:r w:rsidRPr="00FD6911">
        <w:rPr>
          <w:rFonts w:ascii="Arial" w:hAnsi="Arial" w:cs="Arial"/>
          <w:sz w:val="21"/>
          <w:szCs w:val="21"/>
          <w:shd w:val="clear" w:color="auto" w:fill="FFFFFF"/>
        </w:rPr>
        <w:t>Salvador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, </w:t>
      </w:r>
      <w:r w:rsidRPr="00FD6911">
        <w:rPr>
          <w:rFonts w:ascii="Arial" w:hAnsi="Arial" w:cs="Arial"/>
          <w:sz w:val="21"/>
          <w:szCs w:val="21"/>
          <w:shd w:val="clear" w:color="auto" w:fill="FFFFFF"/>
        </w:rPr>
        <w:t>Bahia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.</w:t>
      </w:r>
    </w:p>
    <w:p w:rsidR="00FD6911" w:rsidRDefault="00FD6911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 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The Historic Center is extremely rich in historical monuments dating from the 1</w:t>
      </w:r>
      <w:r w:rsidR="00FB1B55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7th through the 19th centuries, </w:t>
      </w:r>
      <w:r w:rsidR="00394300">
        <w:rPr>
          <w:rFonts w:ascii="Arial" w:hAnsi="Arial" w:cs="Arial"/>
          <w:color w:val="222222"/>
          <w:sz w:val="21"/>
          <w:szCs w:val="21"/>
          <w:shd w:val="clear" w:color="auto" w:fill="FFFFFF"/>
        </w:rPr>
        <w:t>consisting of extremely stunning architectural creations.</w:t>
      </w:r>
    </w:p>
    <w:p w:rsidR="00394300" w:rsidRPr="00394300" w:rsidRDefault="00394300">
      <w:pPr>
        <w:rPr>
          <w:i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r w:rsidRPr="00394300">
        <w:rPr>
          <w:rFonts w:ascii="Arial" w:hAnsi="Arial" w:cs="Arial"/>
          <w:i/>
          <w:color w:val="222222"/>
          <w:sz w:val="21"/>
          <w:szCs w:val="21"/>
          <w:shd w:val="clear" w:color="auto" w:fill="FFFFFF"/>
        </w:rPr>
        <w:t>A Must Visit!</w:t>
      </w:r>
      <w:bookmarkStart w:id="0" w:name="_GoBack"/>
      <w:bookmarkEnd w:id="0"/>
    </w:p>
    <w:sectPr w:rsidR="00394300" w:rsidRPr="003943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633"/>
    <w:rsid w:val="00394300"/>
    <w:rsid w:val="00410633"/>
    <w:rsid w:val="009677F6"/>
    <w:rsid w:val="00EA01D6"/>
    <w:rsid w:val="00FB1B55"/>
    <w:rsid w:val="00FD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DE010"/>
  <w15:chartTrackingRefBased/>
  <w15:docId w15:val="{E016DE96-5898-4BE9-9A8F-81594D217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D69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Ganguly, Amit Ranjan</dc:creator>
  <cp:keywords/>
  <dc:description/>
  <cp:lastModifiedBy>Ganguly, Amit Ranjan</cp:lastModifiedBy>
  <cp:revision>3</cp:revision>
  <dcterms:created xsi:type="dcterms:W3CDTF">2017-07-16T11:50:00Z</dcterms:created>
  <dcterms:modified xsi:type="dcterms:W3CDTF">2017-07-16T12:05:00Z</dcterms:modified>
</cp:coreProperties>
</file>